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35" w:rsidRDefault="00604F35">
      <w:pPr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 xml:space="preserve">Entwicklung der tariflichen Eingruppierung von Psychologischen Psychotherapeuten und </w:t>
      </w:r>
      <w:r w:rsidRPr="00B93C5B">
        <w:rPr>
          <w:rFonts w:asciiTheme="majorHAnsi" w:hAnsiTheme="majorHAnsi"/>
          <w:sz w:val="32"/>
        </w:rPr>
        <w:t xml:space="preserve">Kinder- und Jugendlichenpsychotherapeuten </w:t>
      </w:r>
    </w:p>
    <w:p w:rsidR="00604F35" w:rsidRDefault="00604F35">
      <w:pPr>
        <w:rPr>
          <w:rFonts w:asciiTheme="majorHAnsi" w:hAnsiTheme="majorHAnsi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6"/>
        <w:gridCol w:w="7836"/>
      </w:tblGrid>
      <w:tr w:rsidR="00604F35" w:rsidRPr="00C97150" w:rsidTr="00604F35">
        <w:tc>
          <w:tcPr>
            <w:tcW w:w="1242" w:type="dxa"/>
          </w:tcPr>
          <w:p w:rsidR="00604F35" w:rsidRPr="00C97150" w:rsidRDefault="00604F35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1999</w:t>
            </w:r>
          </w:p>
        </w:tc>
        <w:tc>
          <w:tcPr>
            <w:tcW w:w="7970" w:type="dxa"/>
          </w:tcPr>
          <w:p w:rsidR="00604F35" w:rsidRPr="00C97150" w:rsidRDefault="00604F35" w:rsidP="00916976">
            <w:pPr>
              <w:pStyle w:val="Listenabsatz"/>
              <w:numPr>
                <w:ilvl w:val="0"/>
                <w:numId w:val="2"/>
              </w:numPr>
              <w:ind w:left="318" w:hanging="318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Einführung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der Heilberufe Psychologischer Psychotherapeut und Kinder- und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Jugendlichenpsychotherapeut</w:t>
            </w:r>
            <w:proofErr w:type="spellEnd"/>
          </w:p>
          <w:p w:rsidR="00916976" w:rsidRPr="00C97150" w:rsidRDefault="00916976" w:rsidP="00C97150">
            <w:pPr>
              <w:pStyle w:val="Listenabsatz"/>
              <w:numPr>
                <w:ilvl w:val="0"/>
                <w:numId w:val="2"/>
              </w:numPr>
              <w:ind w:left="318" w:hanging="318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 xml:space="preserve">nach §§ 95 und 95c SGB V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verfügen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Psychologische Psychotherapeuten und Kinder- und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Jugendlichenpsychotherapeuten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über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einen dem Facharztstandard entsprechenden Fachkundenachweis</w:t>
            </w:r>
          </w:p>
        </w:tc>
      </w:tr>
      <w:tr w:rsidR="00BF45DB" w:rsidRPr="00C97150" w:rsidTr="00BC3669">
        <w:trPr>
          <w:trHeight w:val="4181"/>
        </w:trPr>
        <w:tc>
          <w:tcPr>
            <w:tcW w:w="1242" w:type="dxa"/>
          </w:tcPr>
          <w:p w:rsidR="00BF45DB" w:rsidRPr="00C97150" w:rsidRDefault="00BF45DB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2013</w:t>
            </w:r>
          </w:p>
        </w:tc>
        <w:tc>
          <w:tcPr>
            <w:tcW w:w="7970" w:type="dxa"/>
          </w:tcPr>
          <w:p w:rsidR="00BF45DB" w:rsidRPr="00C97150" w:rsidRDefault="00BF45DB" w:rsidP="00916976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Angestelltenbefragung der BPtK</w:t>
            </w:r>
          </w:p>
          <w:p w:rsidR="00BF45DB" w:rsidRPr="00C97150" w:rsidRDefault="00BF45DB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Fachtagung von BPtK und Verdi zum Thema „Anstellung im Fokus“</w:t>
            </w:r>
          </w:p>
          <w:p w:rsidR="00BF45DB" w:rsidRPr="00C97150" w:rsidRDefault="00BF45DB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nur bei knapp einem Drittel der Psychotherapeuten wird die Approbation im Arbeitsvertrag genannt</w:t>
            </w:r>
          </w:p>
          <w:p w:rsidR="00BF45DB" w:rsidRPr="00C97150" w:rsidRDefault="00BF45DB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bei 70 % hat die Approbation keinen Einfluss auf die Vergütung</w:t>
            </w:r>
          </w:p>
          <w:p w:rsidR="00BF45DB" w:rsidRPr="00C97150" w:rsidRDefault="00BF45DB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Psychologische Psychotherapeuten werden im Tarifvertrag des öffentlichen Dienstes (TVöD) als Diplom-Psychologen mindestens der Entgeltstufe 13 zugeordnet</w:t>
            </w:r>
          </w:p>
          <w:p w:rsidR="00BF45DB" w:rsidRPr="00C97150" w:rsidRDefault="00BF45DB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Für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Kinder- und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Jugendlichenpsychotherapeuten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kann – entsprechend des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grundständigen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Berufsabschlusses als Diplom-(Sozial-)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Pädagoge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– eine Eingruppierung in eine niedrigere Entgeltgruppe erfolgen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C971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7970" w:type="dxa"/>
          </w:tcPr>
          <w:p w:rsidR="00604F35" w:rsidRPr="00C97150" w:rsidRDefault="00C97150" w:rsidP="00C971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  <w:r w:rsidRPr="00C97150">
              <w:rPr>
                <w:rFonts w:asciiTheme="majorHAnsi" w:hAnsiTheme="majorHAnsi"/>
                <w:sz w:val="28"/>
                <w:szCs w:val="28"/>
              </w:rPr>
              <w:t xml:space="preserve">it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der Wahl von </w:t>
            </w:r>
            <w:r w:rsidRPr="00C97150">
              <w:rPr>
                <w:rFonts w:asciiTheme="majorHAnsi" w:hAnsiTheme="majorHAnsi"/>
                <w:sz w:val="28"/>
                <w:szCs w:val="28"/>
              </w:rPr>
              <w:t>Dr. Dietrich Munz stammt der Präsident der BPtK aus dem Angestelltenbereich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3576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  <w:tc>
          <w:tcPr>
            <w:tcW w:w="7970" w:type="dxa"/>
          </w:tcPr>
          <w:p w:rsidR="001D6D27" w:rsidRDefault="003576F5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3576F5">
              <w:rPr>
                <w:rFonts w:asciiTheme="majorHAnsi" w:hAnsiTheme="majorHAnsi"/>
                <w:sz w:val="28"/>
                <w:szCs w:val="28"/>
              </w:rPr>
              <w:t>April: Verhandlungen der kommunalen Arbeitgeber mit Verdi. Erstmals wird die Berufsgruppe „Psychologische Psychotherapeuten“ in die Verhandlung mit aufgenommen und TVöD 14 ausgehandelt</w:t>
            </w:r>
            <w:r w:rsidR="001D6D27">
              <w:rPr>
                <w:rFonts w:asciiTheme="majorHAnsi" w:hAnsiTheme="majorHAnsi"/>
                <w:sz w:val="28"/>
                <w:szCs w:val="28"/>
              </w:rPr>
              <w:t xml:space="preserve"> (gilt ab 1.1.2017) </w:t>
            </w:r>
          </w:p>
          <w:p w:rsidR="00604F35" w:rsidRDefault="001D6D27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die Eingruppierung in EG 14 geschieht nur auf Antrag des Arbeitnehmers – für den Antrag ist Zeit bis 31.12.2017 und der Antrag wirkt immer auf den 1.1.2017 zurück</w:t>
            </w:r>
          </w:p>
          <w:p w:rsidR="00A3280A" w:rsidRDefault="00A3280A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es muss ein Höhergruppierungsgewinn von mind. 92,22 € herauskommen – bei stufengleicher Höhergruppierung tritt diese erst ab 1.3.207 in Kraft</w:t>
            </w:r>
          </w:p>
          <w:p w:rsidR="003576F5" w:rsidRDefault="003576F5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Juni: eine große Unterschriftensammelaktion der Fachkommission PP / KJP zur Unterstützung der Dringlichkeit der Forderung einer angemessenen, facharztäquivalenten Einstufung anstatt Entgeltstufe 14</w:t>
            </w:r>
          </w:p>
          <w:p w:rsidR="001D6D27" w:rsidRDefault="001D6D27" w:rsidP="001D6D27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Verdi weist auf die Mitverantwortung der PP / KJP bei der Vertretung eigener Interessen hin </w:t>
            </w:r>
          </w:p>
          <w:p w:rsidR="001D6D27" w:rsidRDefault="001D6D27" w:rsidP="001D6D27">
            <w:pPr>
              <w:pStyle w:val="Listenabsatz"/>
              <w:numPr>
                <w:ilvl w:val="1"/>
                <w:numId w:val="3"/>
              </w:numPr>
              <w:ind w:left="601" w:hanging="28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Mitgliedschaft und Engagement in betrieblicher </w:t>
            </w:r>
            <w:r w:rsidR="00BF45DB">
              <w:rPr>
                <w:rFonts w:asciiTheme="majorHAnsi" w:hAnsiTheme="majorHAnsi"/>
                <w:sz w:val="28"/>
                <w:szCs w:val="28"/>
              </w:rPr>
              <w:t>Mitbestimmung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sowie</w:t>
            </w:r>
          </w:p>
          <w:p w:rsidR="001D6D27" w:rsidRPr="00A3280A" w:rsidRDefault="00BF45DB" w:rsidP="00A3280A">
            <w:pPr>
              <w:pStyle w:val="Listenabsatz"/>
              <w:numPr>
                <w:ilvl w:val="1"/>
                <w:numId w:val="3"/>
              </w:numPr>
              <w:ind w:left="601" w:hanging="28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1D6D27">
              <w:rPr>
                <w:rFonts w:asciiTheme="majorHAnsi" w:hAnsiTheme="majorHAnsi"/>
                <w:sz w:val="28"/>
                <w:szCs w:val="28"/>
              </w:rPr>
              <w:t xml:space="preserve">uf Arbeitgeber in der Tarifgemeinschaft der Länder (Finanzminister) zugehen, den Beruf erklären und zeigen, dass Anspruch </w:t>
            </w:r>
            <w:r w:rsidR="00DD49B0">
              <w:rPr>
                <w:rFonts w:asciiTheme="majorHAnsi" w:hAnsiTheme="majorHAnsi"/>
                <w:sz w:val="28"/>
                <w:szCs w:val="28"/>
              </w:rPr>
              <w:t>auf Facharztgleichstellung im TV-</w:t>
            </w:r>
            <w:r w:rsidR="001D6D27">
              <w:rPr>
                <w:rFonts w:asciiTheme="majorHAnsi" w:hAnsiTheme="majorHAnsi"/>
                <w:sz w:val="28"/>
                <w:szCs w:val="28"/>
              </w:rPr>
              <w:t>L gut begründet ist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DD49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7970" w:type="dxa"/>
          </w:tcPr>
          <w:p w:rsidR="00DD49B0" w:rsidRPr="00E23575" w:rsidRDefault="00DD49B0" w:rsidP="00E2357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17.02.2017  Tarifabschluss TV-L (+2% für 2017, +2,35% für 2018), aber keine Veränderung der Entgeltordnung </w:t>
            </w:r>
            <w:r w:rsidR="00516B6E" w:rsidRPr="00E2357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23575" w:rsidRPr="00C97150" w:rsidTr="00604F35">
        <w:tc>
          <w:tcPr>
            <w:tcW w:w="1242" w:type="dxa"/>
          </w:tcPr>
          <w:p w:rsidR="00E23575" w:rsidRDefault="00E235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</w:t>
            </w:r>
          </w:p>
        </w:tc>
        <w:tc>
          <w:tcPr>
            <w:tcW w:w="7970" w:type="dxa"/>
          </w:tcPr>
          <w:p w:rsidR="00E23575" w:rsidRDefault="00E23575" w:rsidP="00E2357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Tarifabschluss im öffentlichen Dienst der Länder 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TdL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) vom 2.3.2019 erbrachte die Eingruppierung der Psychologischen Psychotherapeuten und KJP  in die Gruppe der Heilberufe </w:t>
            </w:r>
            <w:r w:rsidR="00897591">
              <w:rPr>
                <w:rFonts w:asciiTheme="majorHAnsi" w:hAnsiTheme="majorHAnsi"/>
                <w:sz w:val="28"/>
                <w:szCs w:val="28"/>
              </w:rPr>
              <w:t xml:space="preserve">(Ärzte, Apotheker, Tierärzte und Zahnärzte) </w:t>
            </w:r>
            <w:r>
              <w:rPr>
                <w:rFonts w:asciiTheme="majorHAnsi" w:hAnsiTheme="majorHAnsi"/>
                <w:sz w:val="28"/>
                <w:szCs w:val="28"/>
              </w:rPr>
              <w:t>mit E14.</w:t>
            </w:r>
            <w:r w:rsidR="009920B5">
              <w:rPr>
                <w:rFonts w:asciiTheme="majorHAnsi" w:hAnsiTheme="majorHAnsi"/>
                <w:sz w:val="28"/>
                <w:szCs w:val="28"/>
              </w:rPr>
              <w:t xml:space="preserve"> Dies ist einerseits ein Erfolg, andererseits waren die Erwartungen (E15 bzw. Angleichung Facharztgehalt) höher.</w:t>
            </w:r>
          </w:p>
          <w:p w:rsidR="00E23575" w:rsidRDefault="00E23575" w:rsidP="00E2357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Dr. Dietrich Munz wird als Präsident der BPtK wiedergewählt</w:t>
            </w:r>
          </w:p>
          <w:p w:rsidR="00897591" w:rsidRDefault="00897591" w:rsidP="00E2357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Auch bei der OPK wird als Präsident Dr. Gregor Peikert gewählt, der aus dem Angestelltenbereich kommt</w:t>
            </w:r>
          </w:p>
          <w:p w:rsidR="00897591" w:rsidRDefault="00897591" w:rsidP="00E2357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Verabschiedung von 2 Resolutionen auf dem 34. Deutschen Psychotherapeutentag am 30.3.19 in Koblenz: 1. „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PsychotherapeutInnen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müssen dem öffentlichen Dienst erhalten bleiben! Die Einordnung von Psychotherapeut/innen (PP/KJP) in die Tarifverträge des öffentlichen Dienstes (TVöD und TV-L) ist nicht akzeptabel.  2. </w:t>
            </w:r>
            <w:r w:rsidR="009920B5">
              <w:rPr>
                <w:rFonts w:asciiTheme="majorHAnsi" w:hAnsiTheme="majorHAnsi"/>
                <w:sz w:val="28"/>
                <w:szCs w:val="28"/>
              </w:rPr>
              <w:t>„</w:t>
            </w:r>
            <w:r>
              <w:rPr>
                <w:rFonts w:asciiTheme="majorHAnsi" w:hAnsiTheme="majorHAnsi"/>
                <w:sz w:val="28"/>
                <w:szCs w:val="28"/>
              </w:rPr>
              <w:t>Psychotherapeutische Versorgung in psychiatrischen Kliniken verbessern! Die Personalmindeststandards sind überfällig!</w:t>
            </w:r>
            <w:r w:rsidR="009920B5">
              <w:rPr>
                <w:rFonts w:asciiTheme="majorHAnsi" w:hAnsiTheme="majorHAnsi"/>
                <w:sz w:val="28"/>
                <w:szCs w:val="28"/>
              </w:rPr>
              <w:t>“</w:t>
            </w:r>
          </w:p>
          <w:p w:rsidR="00B466DA" w:rsidRDefault="00B466DA" w:rsidP="00E2357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B466DA">
              <w:rPr>
                <w:rFonts w:asciiTheme="majorHAnsi" w:hAnsiTheme="majorHAnsi"/>
                <w:sz w:val="28"/>
                <w:szCs w:val="28"/>
              </w:rPr>
              <w:t xml:space="preserve">Protestmailaktion für die EG 15 für </w:t>
            </w:r>
            <w:proofErr w:type="spellStart"/>
            <w:r w:rsidRPr="00B466DA">
              <w:rPr>
                <w:rFonts w:asciiTheme="majorHAnsi" w:hAnsiTheme="majorHAnsi"/>
                <w:sz w:val="28"/>
                <w:szCs w:val="28"/>
              </w:rPr>
              <w:t>PsychotherapeutInnen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wird gestartet</w:t>
            </w:r>
          </w:p>
          <w:p w:rsidR="00B466DA" w:rsidRPr="00B466DA" w:rsidRDefault="00B466DA" w:rsidP="00B466DA">
            <w:pPr>
              <w:ind w:left="34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04F35" w:rsidRDefault="00604F35">
      <w:pPr>
        <w:rPr>
          <w:rFonts w:asciiTheme="majorHAnsi" w:hAnsiTheme="majorHAnsi"/>
          <w:sz w:val="32"/>
        </w:rPr>
      </w:pPr>
    </w:p>
    <w:p w:rsidR="00B93C5B" w:rsidRDefault="00B93C5B"/>
    <w:sectPr w:rsidR="00B93C5B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A49"/>
    <w:multiLevelType w:val="hybridMultilevel"/>
    <w:tmpl w:val="A446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6BCF"/>
    <w:multiLevelType w:val="hybridMultilevel"/>
    <w:tmpl w:val="B1EC4686"/>
    <w:lvl w:ilvl="0" w:tplc="D27A11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7FFD"/>
    <w:multiLevelType w:val="hybridMultilevel"/>
    <w:tmpl w:val="61323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19E2"/>
    <w:multiLevelType w:val="hybridMultilevel"/>
    <w:tmpl w:val="75A8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5B"/>
    <w:rsid w:val="000E57D9"/>
    <w:rsid w:val="001D6D27"/>
    <w:rsid w:val="003576F5"/>
    <w:rsid w:val="00516B6E"/>
    <w:rsid w:val="00604F35"/>
    <w:rsid w:val="00897591"/>
    <w:rsid w:val="00916976"/>
    <w:rsid w:val="009920B5"/>
    <w:rsid w:val="00A3280A"/>
    <w:rsid w:val="00A40B43"/>
    <w:rsid w:val="00B466DA"/>
    <w:rsid w:val="00B93C5B"/>
    <w:rsid w:val="00BF45DB"/>
    <w:rsid w:val="00C97150"/>
    <w:rsid w:val="00DD49B0"/>
    <w:rsid w:val="00DF4378"/>
    <w:rsid w:val="00E235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1778-90F0-4E34-BDF9-7288CDDE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B93C5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60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Keller</dc:creator>
  <cp:lastModifiedBy>Antje Orgass</cp:lastModifiedBy>
  <cp:revision>2</cp:revision>
  <dcterms:created xsi:type="dcterms:W3CDTF">2019-05-16T09:39:00Z</dcterms:created>
  <dcterms:modified xsi:type="dcterms:W3CDTF">2019-05-16T09:39:00Z</dcterms:modified>
</cp:coreProperties>
</file>